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FA3BA6" w:rsidP="00701441">
            <w:pPr>
              <w:ind w:firstLine="176"/>
            </w:pPr>
            <w:r w:rsidRPr="00FA3BA6">
              <w:rPr>
                <w:noProof/>
                <w:lang w:val="ru-RU" w:eastAsia="ru-RU"/>
              </w:rPr>
              <w:drawing>
                <wp:inline distT="0" distB="0" distL="0" distR="0" wp14:anchorId="5A3CE4D5" wp14:editId="6D23A1C2">
                  <wp:extent cx="878840" cy="1235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FA3BA6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623E8" w:rsidRPr="006623E8" w:rsidTr="00D45CD9">
        <w:tc>
          <w:tcPr>
            <w:tcW w:w="9853" w:type="dxa"/>
            <w:shd w:val="clear" w:color="auto" w:fill="auto"/>
          </w:tcPr>
          <w:p w:rsidR="006623E8" w:rsidRPr="00452C82" w:rsidRDefault="006623E8" w:rsidP="00D45CD9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УТВЕРЖДАЮ </w:t>
            </w:r>
          </w:p>
          <w:p w:rsidR="006623E8" w:rsidRPr="00FA2A5A" w:rsidRDefault="006623E8" w:rsidP="00D45CD9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Проректор </w:t>
            </w:r>
            <w:r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623E8" w:rsidRPr="00FA2A5A" w:rsidRDefault="006623E8" w:rsidP="00D45CD9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5194B82" wp14:editId="567284A1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6623E8" w:rsidRPr="00FA3BA6" w:rsidRDefault="003B3381" w:rsidP="00D45CD9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FA3BA6" w:rsidRPr="00FA3BA6">
              <w:rPr>
                <w:color w:val="000000"/>
                <w:sz w:val="28"/>
                <w:szCs w:val="28"/>
                <w:lang w:val="ru-RU"/>
              </w:rPr>
              <w:t xml:space="preserve">28 мая </w:t>
            </w:r>
            <w:r w:rsidR="00FA3BA6" w:rsidRPr="00FA3BA6">
              <w:rPr>
                <w:color w:val="000000"/>
                <w:sz w:val="28"/>
                <w:szCs w:val="28"/>
              </w:rPr>
              <w:t>202</w:t>
            </w:r>
            <w:r w:rsidR="00FA3BA6" w:rsidRPr="00FA3BA6">
              <w:rPr>
                <w:color w:val="000000"/>
                <w:sz w:val="28"/>
                <w:szCs w:val="28"/>
                <w:lang w:val="ru-RU"/>
              </w:rPr>
              <w:t>5</w:t>
            </w:r>
            <w:r w:rsidR="00FA3BA6" w:rsidRPr="00FA3BA6">
              <w:rPr>
                <w:color w:val="000000"/>
                <w:sz w:val="28"/>
                <w:szCs w:val="28"/>
              </w:rPr>
              <w:t xml:space="preserve"> г</w:t>
            </w:r>
            <w:r w:rsidR="00FA3BA6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C27E1C" w:rsidRPr="006623E8" w:rsidTr="00701441">
        <w:tc>
          <w:tcPr>
            <w:tcW w:w="9853" w:type="dxa"/>
            <w:shd w:val="clear" w:color="auto" w:fill="auto"/>
          </w:tcPr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CFE" w:rsidRDefault="00C27E1C" w:rsidP="000C1CFE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Default="000C1CFE" w:rsidP="000C1CFE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:rsidR="00FA3BA6" w:rsidRPr="00FA3BA6" w:rsidRDefault="00FA3BA6" w:rsidP="000C1CF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FA3BA6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17071E" w:rsidRPr="000329E0" w:rsidRDefault="0017071E" w:rsidP="00FA3BA6">
      <w:pPr>
        <w:contextualSpacing/>
        <w:rPr>
          <w:color w:val="000000"/>
          <w:sz w:val="28"/>
          <w:szCs w:val="28"/>
          <w:lang w:val="ru-RU"/>
        </w:rPr>
      </w:pPr>
    </w:p>
    <w:p w:rsidR="00176758" w:rsidRDefault="00176758" w:rsidP="00176758">
      <w:pPr>
        <w:contextualSpacing/>
        <w:jc w:val="center"/>
        <w:rPr>
          <w:b/>
          <w:sz w:val="28"/>
          <w:szCs w:val="28"/>
          <w:lang w:val="ru-RU"/>
        </w:rPr>
      </w:pPr>
      <w:r w:rsidRPr="005030C6">
        <w:rPr>
          <w:b/>
          <w:color w:val="000000"/>
          <w:sz w:val="28"/>
          <w:szCs w:val="28"/>
          <w:lang w:val="ru-RU"/>
        </w:rPr>
        <w:t xml:space="preserve">38.02.01 </w:t>
      </w:r>
      <w:r w:rsidRPr="005030C6">
        <w:rPr>
          <w:b/>
          <w:sz w:val="28"/>
          <w:szCs w:val="28"/>
          <w:lang w:val="ru-RU"/>
        </w:rPr>
        <w:t xml:space="preserve">Экономика и бухгалтерский учет (по отраслям)  </w:t>
      </w:r>
    </w:p>
    <w:p w:rsidR="003B3381" w:rsidRDefault="003B3381" w:rsidP="00176758">
      <w:pPr>
        <w:contextualSpacing/>
        <w:jc w:val="center"/>
        <w:rPr>
          <w:b/>
          <w:sz w:val="28"/>
          <w:szCs w:val="28"/>
          <w:lang w:val="ru-RU"/>
        </w:rPr>
      </w:pPr>
    </w:p>
    <w:p w:rsidR="003B3381" w:rsidRPr="003B3381" w:rsidRDefault="003B3381" w:rsidP="003B3381">
      <w:pPr>
        <w:jc w:val="center"/>
        <w:rPr>
          <w:sz w:val="28"/>
          <w:szCs w:val="28"/>
          <w:lang w:val="ru-RU"/>
        </w:rPr>
      </w:pPr>
      <w:r w:rsidRPr="003B3381">
        <w:rPr>
          <w:sz w:val="28"/>
          <w:szCs w:val="28"/>
          <w:lang w:val="ru-RU"/>
        </w:rPr>
        <w:t>(направленность: Ведение бухгалтерского и налогового учета)</w:t>
      </w:r>
    </w:p>
    <w:p w:rsidR="003B3381" w:rsidRDefault="003B3381" w:rsidP="00176758">
      <w:pPr>
        <w:contextualSpacing/>
        <w:jc w:val="center"/>
        <w:rPr>
          <w:b/>
          <w:sz w:val="28"/>
          <w:szCs w:val="28"/>
          <w:lang w:val="ru-RU"/>
        </w:rPr>
      </w:pPr>
    </w:p>
    <w:p w:rsidR="003B3381" w:rsidRPr="005030C6" w:rsidRDefault="003B3381" w:rsidP="00176758">
      <w:pPr>
        <w:contextualSpacing/>
        <w:jc w:val="center"/>
        <w:rPr>
          <w:sz w:val="28"/>
          <w:szCs w:val="28"/>
          <w:lang w:val="ru-RU"/>
        </w:rPr>
      </w:pPr>
    </w:p>
    <w:p w:rsidR="00176758" w:rsidRPr="005030C6" w:rsidRDefault="00176758" w:rsidP="00176758">
      <w:pPr>
        <w:contextualSpacing/>
        <w:jc w:val="center"/>
        <w:rPr>
          <w:sz w:val="28"/>
          <w:szCs w:val="28"/>
          <w:lang w:val="ru-RU"/>
        </w:rPr>
      </w:pPr>
      <w:r w:rsidRPr="005030C6">
        <w:rPr>
          <w:sz w:val="28"/>
          <w:szCs w:val="28"/>
          <w:lang w:val="ru-RU"/>
        </w:rPr>
        <w:t>Квалификация выпускника: Бухгалтер</w:t>
      </w:r>
    </w:p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7A2A1B" w:rsidP="00C27E1C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  <w:bookmarkStart w:id="0" w:name="_GoBack"/>
      <w:bookmarkEnd w:id="0"/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9F72C0" w:rsidRDefault="009F72C0" w:rsidP="00C27E1C">
      <w:pPr>
        <w:contextualSpacing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FA3BA6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7A2A1B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7A2A1B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86413F" w:rsidRDefault="00BB7F05" w:rsidP="007438BB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0C1CFE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7438BB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6413F" w:rsidRPr="0086413F">
                    <w:rPr>
                      <w:sz w:val="28"/>
                      <w:szCs w:val="28"/>
                      <w:lang w:val="ru-RU"/>
                    </w:rPr>
                    <w:t>38.02.01  Экономика и бухгалтерский учет (по отраслям)  (направленность: Ведение бухгалтерского и налогового учета), утвержденного приказом Минпросвещения России от 24 июня 2024 г. №437.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7A2A1B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7A2A1B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7A2A1B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Верченева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7A2A1B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7A2A1B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7A2A1B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7A2A1B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А., канд. техн.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7A2A1B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7A2A1B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7A2A1B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8B451F" w:rsidRDefault="008B451F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6623E8" w:rsidRPr="00452C82" w:rsidRDefault="006623E8" w:rsidP="000C1CFE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0C1CFE" w:rsidRPr="007A3545">
        <w:rPr>
          <w:color w:val="000000"/>
          <w:sz w:val="28"/>
          <w:lang w:val="ru-RU"/>
        </w:rPr>
        <w:t>общеобразовательной</w:t>
      </w:r>
      <w:r w:rsidR="000C1CFE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0C1CFE">
        <w:rPr>
          <w:i/>
          <w:color w:val="000000"/>
          <w:sz w:val="28"/>
          <w:szCs w:val="28"/>
          <w:lang w:val="ru-RU"/>
        </w:rPr>
        <w:t>О</w:t>
      </w:r>
      <w:r>
        <w:rPr>
          <w:i/>
          <w:color w:val="000000"/>
          <w:sz w:val="28"/>
          <w:szCs w:val="28"/>
          <w:lang w:val="ru-RU"/>
        </w:rPr>
        <w:t xml:space="preserve">Д.08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рассмотрена и одобрена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</w:t>
      </w:r>
      <w:r w:rsidR="00FA3BA6" w:rsidRPr="00FA3BA6">
        <w:rPr>
          <w:sz w:val="28"/>
          <w:szCs w:val="28"/>
          <w:lang w:val="ru-RU"/>
        </w:rPr>
        <w:t xml:space="preserve">от 28 мая 2025 г. </w:t>
      </w:r>
      <w:r w:rsidRPr="00BB7F05">
        <w:rPr>
          <w:sz w:val="28"/>
          <w:szCs w:val="28"/>
          <w:lang w:val="ru-RU"/>
        </w:rPr>
        <w:t>№ 9.</w:t>
      </w: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74643830" wp14:editId="43CC836C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C00A0B" w:rsidRDefault="002B04D4" w:rsidP="000C1CFE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С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У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К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0C1CFE">
      <w:pPr>
        <w:contextualSpacing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ПРОГРАММЫ</w:t>
      </w:r>
      <w:r w:rsidR="000C1CFE">
        <w:rPr>
          <w:b/>
          <w:sz w:val="28"/>
          <w:szCs w:val="28"/>
          <w:lang w:val="ru-RU"/>
        </w:rPr>
        <w:t xml:space="preserve">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7438BB">
      <w:pPr>
        <w:pStyle w:val="a5"/>
        <w:numPr>
          <w:ilvl w:val="1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7438BB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p w:rsidR="001D4FF4" w:rsidRDefault="001E1F45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0C1CFE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C755D1">
        <w:rPr>
          <w:sz w:val="28"/>
          <w:szCs w:val="28"/>
          <w:lang w:val="ru-RU"/>
        </w:rPr>
        <w:t>38.02.0</w:t>
      </w:r>
      <w:r w:rsidR="00176758">
        <w:rPr>
          <w:sz w:val="28"/>
          <w:szCs w:val="28"/>
          <w:lang w:val="ru-RU"/>
        </w:rPr>
        <w:t>1</w:t>
      </w:r>
      <w:r w:rsidR="00267DE0">
        <w:rPr>
          <w:sz w:val="28"/>
          <w:szCs w:val="28"/>
          <w:lang w:val="ru-RU"/>
        </w:rPr>
        <w:t xml:space="preserve"> </w:t>
      </w:r>
      <w:r w:rsidR="00176758" w:rsidRPr="00874435">
        <w:rPr>
          <w:color w:val="000000"/>
          <w:sz w:val="28"/>
          <w:szCs w:val="28"/>
          <w:lang w:val="ru-RU"/>
        </w:rPr>
        <w:t>Экономика и б</w:t>
      </w:r>
      <w:r w:rsidR="00176758">
        <w:rPr>
          <w:color w:val="000000"/>
          <w:sz w:val="28"/>
          <w:szCs w:val="28"/>
          <w:lang w:val="ru-RU"/>
        </w:rPr>
        <w:t>ухгалтерский учет (по отраслям).</w:t>
      </w:r>
    </w:p>
    <w:p w:rsidR="00AB161A" w:rsidRDefault="00AB161A" w:rsidP="007438BB">
      <w:pPr>
        <w:ind w:firstLine="709"/>
        <w:rPr>
          <w:sz w:val="28"/>
          <w:szCs w:val="28"/>
          <w:lang w:val="ru-RU"/>
        </w:rPr>
      </w:pPr>
    </w:p>
    <w:p w:rsidR="00AB161A" w:rsidRDefault="00AB161A" w:rsidP="007438BB">
      <w:pPr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7438BB">
      <w:pPr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0C1CFE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>1.2.2. Планируемые результаты освоения общеобразовательной дисциплины в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7A2A1B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t>ОК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базовые исследовательские действия:</w:t>
            </w:r>
          </w:p>
          <w:p w:rsidR="00C17D84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строить неравномерные коды, допускающие однозначное декодирование сообщений ( 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r w:rsidR="003172CE">
              <w:rPr>
                <w:sz w:val="28"/>
                <w:szCs w:val="28"/>
                <w:lang w:val="ru-RU"/>
              </w:rPr>
              <w:t xml:space="preserve">различных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системах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( 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>(Паскаль, Python, Java,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часх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9F72C0" w:rsidP="009F72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ом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т.ч.: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 Информатика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7A2A1B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Раздел1.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E34375" w:rsidRPr="007A2A1B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22060B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22060B">
              <w:rPr>
                <w:sz w:val="28"/>
                <w:szCs w:val="28"/>
                <w:lang w:val="ru-RU"/>
              </w:rPr>
              <w:t xml:space="preserve">. Построение логических </w:t>
            </w:r>
            <w:r w:rsidR="008E341D">
              <w:rPr>
                <w:sz w:val="28"/>
                <w:szCs w:val="28"/>
                <w:lang w:val="ru-RU"/>
              </w:rPr>
              <w:t>моделей финансовых ресурсов</w:t>
            </w:r>
            <w:r w:rsidR="0022060B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60742F" w:rsidRPr="007A2A1B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60742F" w:rsidRPr="007A2A1B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  <w:r w:rsidR="0022060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Сетевое хранение данных и цифрового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22060B">
              <w:rPr>
                <w:sz w:val="28"/>
                <w:szCs w:val="28"/>
                <w:lang w:val="ru-RU"/>
              </w:rPr>
              <w:t>. Защита информации клиентов. Тайна вкладов.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цифрового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EE3313" w:rsidRPr="006623E8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E821DC">
              <w:rPr>
                <w:sz w:val="28"/>
                <w:szCs w:val="28"/>
                <w:lang w:val="ru-RU"/>
              </w:rPr>
              <w:t>. 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E821DC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E821DC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FB5011" w:rsidRPr="007A2A1B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</w:t>
            </w:r>
            <w:r w:rsidR="00097871">
              <w:rPr>
                <w:sz w:val="28"/>
                <w:szCs w:val="28"/>
                <w:lang w:val="ru-RU"/>
              </w:rPr>
              <w:t>ор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процессах»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83EEE" w:rsidRPr="007A2A1B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E821DC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E821DC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E821DC" w:rsidRDefault="003E58A5">
      <w:pPr>
        <w:rPr>
          <w:lang w:val="ru-RU"/>
        </w:rPr>
      </w:pPr>
      <w:r w:rsidRPr="00E821DC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E821DC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183EEE" w:rsidRPr="00E821DC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8E341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B117BC" w:rsidRPr="007A2A1B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B117BC" w:rsidRPr="007A2A1B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388E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388E">
              <w:rPr>
                <w:sz w:val="28"/>
                <w:szCs w:val="28"/>
                <w:lang w:val="ru-RU"/>
              </w:rPr>
              <w:t>. Создание информационных слайд-программ.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73388E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73388E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73388E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C71A8C" w:rsidRPr="007A2A1B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A44BA8" w:rsidRPr="007A2A1B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D45CD9">
              <w:rPr>
                <w:sz w:val="28"/>
                <w:szCs w:val="28"/>
                <w:lang w:val="ru-RU"/>
              </w:rPr>
              <w:t xml:space="preserve">. Моделирование </w:t>
            </w:r>
            <w:r w:rsidR="008E341D">
              <w:rPr>
                <w:sz w:val="28"/>
                <w:szCs w:val="28"/>
                <w:lang w:val="ru-RU"/>
              </w:rPr>
              <w:t>финансовых потоков</w:t>
            </w:r>
            <w:r w:rsidR="00D45CD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A44BA8" w:rsidRPr="007A2A1B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24557E" w:rsidRPr="006623E8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  <w:r w:rsidR="00D45CD9">
              <w:rPr>
                <w:sz w:val="28"/>
                <w:szCs w:val="28"/>
                <w:lang w:val="ru-RU"/>
              </w:rPr>
              <w:t xml:space="preserve">. </w:t>
            </w:r>
            <w:r w:rsidR="008E341D">
              <w:rPr>
                <w:sz w:val="28"/>
                <w:szCs w:val="28"/>
                <w:lang w:val="ru-RU"/>
              </w:rPr>
              <w:t>Построение алгоритма платежных операций.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D45CD9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283726" w:rsidRPr="007A2A1B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39101F" w:rsidRPr="007A2A1B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5E166C" w:rsidRPr="007A2A1B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668B8">
              <w:rPr>
                <w:sz w:val="28"/>
                <w:szCs w:val="28"/>
                <w:lang w:val="ru-RU"/>
              </w:rPr>
              <w:t xml:space="preserve"> «Динамические таблицы отчетности».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</w:tr>
      <w:tr w:rsidR="005E166C" w:rsidRPr="007A2A1B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110 часов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 компьютерн</w:t>
      </w:r>
      <w:r w:rsidR="00BB7F05">
        <w:rPr>
          <w:sz w:val="28"/>
          <w:szCs w:val="28"/>
          <w:lang w:val="ru-RU"/>
        </w:rPr>
        <w:t xml:space="preserve">ых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посадочные места по количеству обучающих;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компьютеры по количеству обучающихся;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мультимедиапроектор;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86413F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422D54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86413F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перераб. и доп. — Москва: Издательство Юрайт,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urait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ru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bcode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86413F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перераб. и доп. — Москва: Издательство Юрайт,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urait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ru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bcode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422D54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Колдаев, С.А. Лупин.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znanium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bookread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452C82">
                    <w:rPr>
                      <w:sz w:val="28"/>
                      <w:szCs w:val="28"/>
                    </w:rPr>
                    <w:t>php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86413F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Мойзес, О. Е. Информатика. Углубленный курс: учебное пособие для среднего профессионального образования / О. Е. Мойзес, Е. А. Кузьменко. — Москва: Издательство Юрайт,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 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Юрайт,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Юрайт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452C82">
                    <w:rPr>
                      <w:sz w:val="28"/>
                      <w:szCs w:val="28"/>
                    </w:rPr>
                    <w:t>urait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ru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</w:rPr>
                    <w:t>bcode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86413F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86413F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86413F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ru.wikipedia.org/wiki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информационных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Web–конспект: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Плюс»:http://www.internet.consultant.ru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«Гарант»:http://www.internet.garant.ru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«Руслан»:http://ruslana.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86413F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86413F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BD0" w:rsidRDefault="00866BD0" w:rsidP="0008408D">
      <w:r>
        <w:separator/>
      </w:r>
    </w:p>
  </w:endnote>
  <w:endnote w:type="continuationSeparator" w:id="0">
    <w:p w:rsidR="00866BD0" w:rsidRDefault="00866BD0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D45CD9" w:rsidRDefault="00D45C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A1B" w:rsidRPr="007A2A1B">
          <w:rPr>
            <w:noProof/>
            <w:lang w:val="ru-RU"/>
          </w:rPr>
          <w:t>2</w:t>
        </w:r>
        <w:r>
          <w:fldChar w:fldCharType="end"/>
        </w:r>
      </w:p>
    </w:sdtContent>
  </w:sdt>
  <w:p w:rsidR="00D45CD9" w:rsidRDefault="00D45C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BD0" w:rsidRDefault="00866BD0" w:rsidP="0008408D">
      <w:r>
        <w:separator/>
      </w:r>
    </w:p>
  </w:footnote>
  <w:footnote w:type="continuationSeparator" w:id="0">
    <w:p w:rsidR="00866BD0" w:rsidRDefault="00866BD0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2D52"/>
    <w:rsid w:val="0008408D"/>
    <w:rsid w:val="00091B7C"/>
    <w:rsid w:val="00093AAB"/>
    <w:rsid w:val="00097871"/>
    <w:rsid w:val="000A1E92"/>
    <w:rsid w:val="000A57B0"/>
    <w:rsid w:val="000C1CFE"/>
    <w:rsid w:val="000D574A"/>
    <w:rsid w:val="00122ED5"/>
    <w:rsid w:val="00135E08"/>
    <w:rsid w:val="00151D0D"/>
    <w:rsid w:val="001668B8"/>
    <w:rsid w:val="0017071E"/>
    <w:rsid w:val="00176758"/>
    <w:rsid w:val="00183EEE"/>
    <w:rsid w:val="001A796E"/>
    <w:rsid w:val="001D4FF4"/>
    <w:rsid w:val="001E0CD0"/>
    <w:rsid w:val="001E1F45"/>
    <w:rsid w:val="00220444"/>
    <w:rsid w:val="0022060B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11ECC"/>
    <w:rsid w:val="003172CE"/>
    <w:rsid w:val="00344246"/>
    <w:rsid w:val="0037177E"/>
    <w:rsid w:val="0037272E"/>
    <w:rsid w:val="0039101F"/>
    <w:rsid w:val="003B3381"/>
    <w:rsid w:val="003B4B43"/>
    <w:rsid w:val="003D6F97"/>
    <w:rsid w:val="003E58A5"/>
    <w:rsid w:val="003F1CBC"/>
    <w:rsid w:val="0040314C"/>
    <w:rsid w:val="00422D54"/>
    <w:rsid w:val="004325D5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B5486"/>
    <w:rsid w:val="005D14D6"/>
    <w:rsid w:val="005E166C"/>
    <w:rsid w:val="005E7550"/>
    <w:rsid w:val="005F552B"/>
    <w:rsid w:val="0060742F"/>
    <w:rsid w:val="00622608"/>
    <w:rsid w:val="00637C7C"/>
    <w:rsid w:val="006623E8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315E4"/>
    <w:rsid w:val="0073388E"/>
    <w:rsid w:val="007438BB"/>
    <w:rsid w:val="00746AE1"/>
    <w:rsid w:val="00760116"/>
    <w:rsid w:val="00762E2F"/>
    <w:rsid w:val="00766AC6"/>
    <w:rsid w:val="007A2A1B"/>
    <w:rsid w:val="007B75EB"/>
    <w:rsid w:val="007E3821"/>
    <w:rsid w:val="00831746"/>
    <w:rsid w:val="00853DE9"/>
    <w:rsid w:val="0085576B"/>
    <w:rsid w:val="0086413F"/>
    <w:rsid w:val="00866BD0"/>
    <w:rsid w:val="008B451F"/>
    <w:rsid w:val="008C4A9B"/>
    <w:rsid w:val="008E341D"/>
    <w:rsid w:val="009004BB"/>
    <w:rsid w:val="00901BF9"/>
    <w:rsid w:val="00942C3C"/>
    <w:rsid w:val="00987523"/>
    <w:rsid w:val="00995A8D"/>
    <w:rsid w:val="009A3510"/>
    <w:rsid w:val="009B42C8"/>
    <w:rsid w:val="009F72C0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C00A0B"/>
    <w:rsid w:val="00C16A00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D044AA"/>
    <w:rsid w:val="00D21A8F"/>
    <w:rsid w:val="00D45CD9"/>
    <w:rsid w:val="00D8637A"/>
    <w:rsid w:val="00DB13F1"/>
    <w:rsid w:val="00DE0F34"/>
    <w:rsid w:val="00E10B57"/>
    <w:rsid w:val="00E23911"/>
    <w:rsid w:val="00E34375"/>
    <w:rsid w:val="00E50ADA"/>
    <w:rsid w:val="00E821DC"/>
    <w:rsid w:val="00E84AF3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A3BA6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3AB95-CE00-4305-B615-D0B78B07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3385</Words>
  <Characters>19300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22</cp:revision>
  <dcterms:created xsi:type="dcterms:W3CDTF">2023-06-05T08:08:00Z</dcterms:created>
  <dcterms:modified xsi:type="dcterms:W3CDTF">2025-11-20T04:13:00Z</dcterms:modified>
</cp:coreProperties>
</file>